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852" w:type="dxa"/>
        <w:tblLook w:val="01E0"/>
      </w:tblPr>
      <w:tblGrid>
        <w:gridCol w:w="972"/>
        <w:gridCol w:w="2682"/>
      </w:tblGrid>
      <w:tr w:rsidR="00A96A1C" w:rsidTr="00A96A1C">
        <w:trPr>
          <w:cantSplit/>
        </w:trPr>
        <w:tc>
          <w:tcPr>
            <w:tcW w:w="972" w:type="dxa"/>
            <w:vMerge w:val="restart"/>
            <w:vAlign w:val="center"/>
          </w:tcPr>
          <w:p w:rsidR="00A96A1C" w:rsidRDefault="00A96A1C" w:rsidP="00791935">
            <w:r>
              <w:t>  </w:t>
            </w:r>
            <w:r>
              <w:br/>
            </w:r>
            <w:r>
              <w:rPr>
                <w:noProof/>
                <w:lang w:eastAsia="hr-HR"/>
              </w:rPr>
              <w:drawing>
                <wp:inline distT="0" distB="0" distL="0" distR="0">
                  <wp:extent cx="461010" cy="593090"/>
                  <wp:effectExtent l="19050" t="0" r="0" b="0"/>
                  <wp:docPr id="17" name="Slika 17" descr="GBR GROZNJ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GBR GROZNJ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593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2" w:type="dxa"/>
          </w:tcPr>
          <w:p w:rsidR="00A96A1C" w:rsidRDefault="00A96A1C" w:rsidP="00791935">
            <w:pPr>
              <w:jc w:val="center"/>
            </w:pPr>
            <w:r>
              <w:rPr>
                <w:noProof/>
                <w:lang w:eastAsia="hr-HR"/>
              </w:rPr>
              <w:drawing>
                <wp:inline distT="0" distB="0" distL="0" distR="0">
                  <wp:extent cx="453390" cy="568325"/>
                  <wp:effectExtent l="19050" t="0" r="3810" b="0"/>
                  <wp:docPr id="18" name="Slika 18" descr="Grb_HR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Grb_HR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390" cy="568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6A1C" w:rsidTr="00A96A1C">
        <w:trPr>
          <w:cantSplit/>
        </w:trPr>
        <w:tc>
          <w:tcPr>
            <w:tcW w:w="972" w:type="dxa"/>
            <w:vMerge/>
          </w:tcPr>
          <w:p w:rsidR="00A96A1C" w:rsidRDefault="00A96A1C" w:rsidP="00791935"/>
        </w:tc>
        <w:tc>
          <w:tcPr>
            <w:tcW w:w="2682" w:type="dxa"/>
          </w:tcPr>
          <w:p w:rsidR="00A96A1C" w:rsidRDefault="00A96A1C" w:rsidP="0079193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  </w:t>
            </w:r>
            <w:r>
              <w:rPr>
                <w:rFonts w:ascii="Times New Roman" w:hAnsi="Times New Roman"/>
                <w:bCs/>
                <w:sz w:val="20"/>
              </w:rPr>
              <w:br/>
              <w:t>REPUBLIKA HRVATSKA</w:t>
            </w:r>
            <w:r>
              <w:rPr>
                <w:rFonts w:ascii="Times New Roman" w:hAnsi="Times New Roman"/>
                <w:spacing w:val="10"/>
              </w:rPr>
              <w:t xml:space="preserve">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>ISTARSKA ŽUPANIJA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 xml:space="preserve"> OPĆINA GROŽNJAN</w:t>
            </w:r>
          </w:p>
        </w:tc>
      </w:tr>
      <w:tr w:rsidR="00A96A1C" w:rsidTr="00A96A1C">
        <w:trPr>
          <w:cantSplit/>
        </w:trPr>
        <w:tc>
          <w:tcPr>
            <w:tcW w:w="972" w:type="dxa"/>
            <w:vMerge/>
          </w:tcPr>
          <w:p w:rsidR="00A96A1C" w:rsidRDefault="00A96A1C" w:rsidP="00791935"/>
        </w:tc>
        <w:tc>
          <w:tcPr>
            <w:tcW w:w="2682" w:type="dxa"/>
          </w:tcPr>
          <w:p w:rsidR="00A96A1C" w:rsidRDefault="00A96A1C" w:rsidP="00791935">
            <w:pPr>
              <w:jc w:val="center"/>
              <w:rPr>
                <w:rFonts w:ascii="Times New Roman" w:hAnsi="Times New Roman"/>
              </w:rPr>
            </w:pPr>
          </w:p>
        </w:tc>
      </w:tr>
      <w:tr w:rsidR="00A96A1C" w:rsidTr="00A96A1C">
        <w:trPr>
          <w:cantSplit/>
        </w:trPr>
        <w:tc>
          <w:tcPr>
            <w:tcW w:w="972" w:type="dxa"/>
            <w:vMerge/>
          </w:tcPr>
          <w:p w:rsidR="00A96A1C" w:rsidRDefault="00A96A1C" w:rsidP="00791935"/>
        </w:tc>
        <w:tc>
          <w:tcPr>
            <w:tcW w:w="2682" w:type="dxa"/>
          </w:tcPr>
          <w:p w:rsidR="00A96A1C" w:rsidRDefault="00A96A1C" w:rsidP="00791935">
            <w:pPr>
              <w:pStyle w:val="Naslov2"/>
              <w:rPr>
                <w:b w:val="0"/>
                <w:bCs/>
                <w:spacing w:val="0"/>
                <w:sz w:val="20"/>
              </w:rPr>
            </w:pPr>
            <w:r>
              <w:rPr>
                <w:b w:val="0"/>
                <w:bCs/>
                <w:spacing w:val="0"/>
                <w:sz w:val="20"/>
              </w:rPr>
              <w:t>REPUBBLICA DI CROAZIA</w:t>
            </w:r>
          </w:p>
          <w:p w:rsidR="00A96A1C" w:rsidRDefault="00A96A1C" w:rsidP="00A96A1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REGIONE ISTRIANA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COMUNE DI GRISIGNANA</w:t>
            </w:r>
          </w:p>
        </w:tc>
      </w:tr>
    </w:tbl>
    <w:p w:rsidR="00A96A1C" w:rsidRDefault="00A96A1C" w:rsidP="00E447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</w:t>
      </w:r>
      <w:r w:rsidR="00E4475B">
        <w:rPr>
          <w:rFonts w:ascii="Times New Roman" w:hAnsi="Times New Roman" w:cs="Times New Roman"/>
          <w:sz w:val="24"/>
          <w:szCs w:val="24"/>
        </w:rPr>
        <w:t xml:space="preserve"> 406-03/20-01/01</w:t>
      </w:r>
      <w:r>
        <w:rPr>
          <w:rFonts w:ascii="Times New Roman" w:hAnsi="Times New Roman" w:cs="Times New Roman"/>
          <w:sz w:val="24"/>
          <w:szCs w:val="24"/>
        </w:rPr>
        <w:br/>
        <w:t>URBROJ:</w:t>
      </w:r>
      <w:r w:rsidR="00E4475B">
        <w:rPr>
          <w:rFonts w:ascii="Times New Roman" w:hAnsi="Times New Roman" w:cs="Times New Roman"/>
          <w:sz w:val="24"/>
          <w:szCs w:val="24"/>
        </w:rPr>
        <w:t xml:space="preserve"> 2105/06-02/1-20-1</w:t>
      </w:r>
      <w:r>
        <w:rPr>
          <w:rFonts w:ascii="Times New Roman" w:hAnsi="Times New Roman" w:cs="Times New Roman"/>
          <w:sz w:val="24"/>
          <w:szCs w:val="24"/>
        </w:rPr>
        <w:br/>
        <w:t>Grožnjan, 3. lipnja 2020.</w:t>
      </w:r>
    </w:p>
    <w:p w:rsidR="00716B78" w:rsidRDefault="00716B78" w:rsidP="001D1669">
      <w:pPr>
        <w:jc w:val="both"/>
        <w:rPr>
          <w:rFonts w:ascii="Times New Roman" w:hAnsi="Times New Roman" w:cs="Times New Roman"/>
          <w:sz w:val="24"/>
          <w:szCs w:val="24"/>
        </w:rPr>
      </w:pPr>
      <w:r w:rsidRPr="00716B78">
        <w:rPr>
          <w:rFonts w:ascii="Times New Roman" w:hAnsi="Times New Roman" w:cs="Times New Roman"/>
          <w:sz w:val="24"/>
          <w:szCs w:val="24"/>
        </w:rPr>
        <w:t xml:space="preserve">Na temelju članka </w:t>
      </w:r>
      <w:r>
        <w:rPr>
          <w:rFonts w:ascii="Times New Roman" w:hAnsi="Times New Roman" w:cs="Times New Roman"/>
          <w:sz w:val="24"/>
          <w:szCs w:val="24"/>
        </w:rPr>
        <w:t xml:space="preserve">18. i 27. Pravilnika o proračunskom računovodstvu i računskom planu („Narodne novine“ </w:t>
      </w:r>
      <w:r w:rsidR="00604973">
        <w:rPr>
          <w:rFonts w:ascii="Times New Roman" w:hAnsi="Times New Roman" w:cs="Times New Roman"/>
          <w:sz w:val="24"/>
          <w:szCs w:val="24"/>
        </w:rPr>
        <w:t xml:space="preserve"> broj 124/14, 115/15, 87/16, 3/18 i 126/19) i </w:t>
      </w:r>
      <w:r w:rsidRPr="00716B78">
        <w:rPr>
          <w:rFonts w:ascii="Times New Roman" w:hAnsi="Times New Roman" w:cs="Times New Roman"/>
          <w:sz w:val="24"/>
          <w:szCs w:val="24"/>
        </w:rPr>
        <w:t>3</w:t>
      </w:r>
      <w:r w:rsidR="001D1669">
        <w:rPr>
          <w:rFonts w:ascii="Times New Roman" w:hAnsi="Times New Roman" w:cs="Times New Roman"/>
          <w:sz w:val="24"/>
          <w:szCs w:val="24"/>
        </w:rPr>
        <w:t>9</w:t>
      </w:r>
      <w:r w:rsidRPr="00716B78">
        <w:rPr>
          <w:rFonts w:ascii="Times New Roman" w:hAnsi="Times New Roman" w:cs="Times New Roman"/>
          <w:sz w:val="24"/>
          <w:szCs w:val="24"/>
        </w:rPr>
        <w:t xml:space="preserve">. Statuta </w:t>
      </w:r>
      <w:r w:rsidR="001D1669">
        <w:rPr>
          <w:rFonts w:ascii="Times New Roman" w:hAnsi="Times New Roman" w:cs="Times New Roman"/>
          <w:sz w:val="24"/>
          <w:szCs w:val="24"/>
        </w:rPr>
        <w:t xml:space="preserve">Općine Grožnjan Grisignana  („Službene  novine“ broj 14/19) </w:t>
      </w:r>
      <w:r w:rsidR="00B553EA">
        <w:rPr>
          <w:rFonts w:ascii="Times New Roman" w:hAnsi="Times New Roman" w:cs="Times New Roman"/>
          <w:sz w:val="24"/>
          <w:szCs w:val="24"/>
        </w:rPr>
        <w:t>O</w:t>
      </w:r>
      <w:r w:rsidR="001D1669">
        <w:rPr>
          <w:rFonts w:ascii="Times New Roman" w:hAnsi="Times New Roman" w:cs="Times New Roman"/>
          <w:sz w:val="24"/>
          <w:szCs w:val="24"/>
        </w:rPr>
        <w:t xml:space="preserve">pćinski </w:t>
      </w:r>
      <w:r w:rsidRPr="00716B78">
        <w:rPr>
          <w:rFonts w:ascii="Times New Roman" w:hAnsi="Times New Roman" w:cs="Times New Roman"/>
          <w:sz w:val="24"/>
          <w:szCs w:val="24"/>
        </w:rPr>
        <w:t xml:space="preserve">načelnik </w:t>
      </w:r>
      <w:r w:rsidR="001D1669">
        <w:rPr>
          <w:rFonts w:ascii="Times New Roman" w:hAnsi="Times New Roman" w:cs="Times New Roman"/>
          <w:sz w:val="24"/>
          <w:szCs w:val="24"/>
        </w:rPr>
        <w:t xml:space="preserve">Općine Grožnjan Grisignana </w:t>
      </w:r>
      <w:r w:rsidRPr="00716B78">
        <w:rPr>
          <w:rFonts w:ascii="Times New Roman" w:hAnsi="Times New Roman" w:cs="Times New Roman"/>
          <w:sz w:val="24"/>
          <w:szCs w:val="24"/>
        </w:rPr>
        <w:t>donosi</w:t>
      </w:r>
    </w:p>
    <w:p w:rsidR="0050699F" w:rsidRPr="00716B78" w:rsidRDefault="0050699F" w:rsidP="001D166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16B78" w:rsidRPr="00716B78" w:rsidRDefault="00716B78" w:rsidP="00716B7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2757">
        <w:rPr>
          <w:rFonts w:ascii="Times New Roman" w:hAnsi="Times New Roman" w:cs="Times New Roman"/>
          <w:bCs/>
          <w:sz w:val="24"/>
          <w:szCs w:val="24"/>
        </w:rPr>
        <w:t xml:space="preserve">ODLUKU </w:t>
      </w:r>
      <w:r w:rsidR="00342757">
        <w:rPr>
          <w:rFonts w:ascii="Times New Roman" w:hAnsi="Times New Roman" w:cs="Times New Roman"/>
          <w:bCs/>
          <w:sz w:val="24"/>
          <w:szCs w:val="24"/>
        </w:rPr>
        <w:br/>
      </w:r>
      <w:r w:rsidR="00342757" w:rsidRPr="00342757">
        <w:rPr>
          <w:rFonts w:ascii="Times New Roman" w:hAnsi="Times New Roman" w:cs="Times New Roman"/>
          <w:bCs/>
          <w:sz w:val="24"/>
          <w:szCs w:val="24"/>
        </w:rPr>
        <w:t>o</w:t>
      </w:r>
      <w:r w:rsidRPr="00716B78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342757" w:rsidRPr="00342757">
        <w:rPr>
          <w:rFonts w:ascii="Times New Roman" w:hAnsi="Times New Roman" w:cs="Times New Roman"/>
          <w:bCs/>
          <w:sz w:val="24"/>
          <w:szCs w:val="24"/>
        </w:rPr>
        <w:t xml:space="preserve">razvrstavanju dugotrajne nefinancijske imovine u </w:t>
      </w:r>
      <w:r w:rsidR="00342757">
        <w:rPr>
          <w:rFonts w:ascii="Times New Roman" w:hAnsi="Times New Roman" w:cs="Times New Roman"/>
          <w:bCs/>
          <w:sz w:val="24"/>
          <w:szCs w:val="24"/>
        </w:rPr>
        <w:br/>
      </w:r>
      <w:r w:rsidR="00342757" w:rsidRPr="00342757">
        <w:rPr>
          <w:rFonts w:ascii="Times New Roman" w:hAnsi="Times New Roman" w:cs="Times New Roman"/>
          <w:bCs/>
          <w:sz w:val="24"/>
          <w:szCs w:val="24"/>
        </w:rPr>
        <w:t>proizvedenu dugotr</w:t>
      </w:r>
      <w:r w:rsidR="00342757">
        <w:rPr>
          <w:rFonts w:ascii="Times New Roman" w:hAnsi="Times New Roman" w:cs="Times New Roman"/>
          <w:bCs/>
          <w:sz w:val="24"/>
          <w:szCs w:val="24"/>
        </w:rPr>
        <w:t>a</w:t>
      </w:r>
      <w:r w:rsidR="00342757" w:rsidRPr="00342757">
        <w:rPr>
          <w:rFonts w:ascii="Times New Roman" w:hAnsi="Times New Roman" w:cs="Times New Roman"/>
          <w:bCs/>
          <w:sz w:val="24"/>
          <w:szCs w:val="24"/>
        </w:rPr>
        <w:t xml:space="preserve">jnu </w:t>
      </w:r>
      <w:r w:rsidR="00342757">
        <w:rPr>
          <w:rFonts w:ascii="Times New Roman" w:hAnsi="Times New Roman" w:cs="Times New Roman"/>
          <w:bCs/>
          <w:sz w:val="24"/>
          <w:szCs w:val="24"/>
        </w:rPr>
        <w:t xml:space="preserve">nefinancijsku </w:t>
      </w:r>
      <w:r w:rsidR="00342757" w:rsidRPr="00342757">
        <w:rPr>
          <w:rFonts w:ascii="Times New Roman" w:hAnsi="Times New Roman" w:cs="Times New Roman"/>
          <w:bCs/>
          <w:sz w:val="24"/>
          <w:szCs w:val="24"/>
        </w:rPr>
        <w:t xml:space="preserve">imovinu ili sitni inventari i o </w:t>
      </w:r>
      <w:r w:rsidR="00342757">
        <w:rPr>
          <w:rFonts w:ascii="Times New Roman" w:hAnsi="Times New Roman" w:cs="Times New Roman"/>
          <w:bCs/>
          <w:sz w:val="24"/>
          <w:szCs w:val="24"/>
        </w:rPr>
        <w:br/>
      </w:r>
      <w:r w:rsidR="00342757" w:rsidRPr="00342757">
        <w:rPr>
          <w:rFonts w:ascii="Times New Roman" w:hAnsi="Times New Roman" w:cs="Times New Roman"/>
          <w:bCs/>
          <w:sz w:val="24"/>
          <w:szCs w:val="24"/>
        </w:rPr>
        <w:t>jednokratnom ispravku vrijednosti</w:t>
      </w:r>
      <w:r w:rsidR="00342757">
        <w:rPr>
          <w:rFonts w:ascii="Times New Roman" w:hAnsi="Times New Roman" w:cs="Times New Roman"/>
          <w:bCs/>
          <w:sz w:val="24"/>
          <w:szCs w:val="24"/>
        </w:rPr>
        <w:t xml:space="preserve"> u Općini Grožnjan Grisignana</w:t>
      </w:r>
    </w:p>
    <w:p w:rsidR="00716B78" w:rsidRPr="00716B78" w:rsidRDefault="00716B78" w:rsidP="00716B78">
      <w:pPr>
        <w:rPr>
          <w:rFonts w:ascii="Times New Roman" w:hAnsi="Times New Roman" w:cs="Times New Roman"/>
          <w:sz w:val="24"/>
          <w:szCs w:val="24"/>
        </w:rPr>
      </w:pPr>
    </w:p>
    <w:p w:rsidR="0050699F" w:rsidRPr="00B53BA2" w:rsidRDefault="006B4037" w:rsidP="008830B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B53B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716B78" w:rsidRPr="00B53BA2">
        <w:rPr>
          <w:rFonts w:ascii="Times New Roman" w:hAnsi="Times New Roman" w:cs="Times New Roman"/>
          <w:sz w:val="24"/>
          <w:szCs w:val="24"/>
        </w:rPr>
        <w:t>Članak 1.</w:t>
      </w:r>
      <w:r w:rsidR="008830B2">
        <w:rPr>
          <w:rFonts w:ascii="Times New Roman" w:hAnsi="Times New Roman" w:cs="Times New Roman"/>
          <w:sz w:val="24"/>
          <w:szCs w:val="24"/>
        </w:rPr>
        <w:br/>
      </w:r>
      <w:r w:rsidR="00B53BA2" w:rsidRPr="00B53BA2">
        <w:rPr>
          <w:rFonts w:ascii="Times New Roman" w:hAnsi="Times New Roman" w:cs="Times New Roman"/>
          <w:color w:val="000000"/>
          <w:sz w:val="24"/>
          <w:szCs w:val="24"/>
        </w:rPr>
        <w:t>Ovom odlukom utvrđuju se kriteriji prema kojima se razvrstava proizvedena dugotrajna nefinancijska imovina i sitni inventar te način ispravka vrijednosti dugotrajne nefinancijske imovine i sitnog inventara.   </w:t>
      </w:r>
    </w:p>
    <w:p w:rsidR="00B53BA2" w:rsidRPr="008830B2" w:rsidRDefault="006B4037" w:rsidP="008830B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B53B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716B78" w:rsidRPr="00B53BA2">
        <w:rPr>
          <w:rFonts w:ascii="Times New Roman" w:hAnsi="Times New Roman" w:cs="Times New Roman"/>
          <w:sz w:val="24"/>
          <w:szCs w:val="24"/>
        </w:rPr>
        <w:t xml:space="preserve">Članak </w:t>
      </w:r>
      <w:r w:rsidR="001A14F7" w:rsidRPr="00B53BA2">
        <w:rPr>
          <w:rFonts w:ascii="Times New Roman" w:hAnsi="Times New Roman" w:cs="Times New Roman"/>
          <w:sz w:val="24"/>
          <w:szCs w:val="24"/>
        </w:rPr>
        <w:t>2</w:t>
      </w:r>
      <w:r w:rsidR="00716B78" w:rsidRPr="00B53BA2">
        <w:rPr>
          <w:rFonts w:ascii="Times New Roman" w:hAnsi="Times New Roman" w:cs="Times New Roman"/>
          <w:sz w:val="24"/>
          <w:szCs w:val="24"/>
        </w:rPr>
        <w:t>.</w:t>
      </w:r>
      <w:r w:rsidR="008830B2">
        <w:rPr>
          <w:rFonts w:ascii="Times New Roman" w:hAnsi="Times New Roman" w:cs="Times New Roman"/>
          <w:sz w:val="24"/>
          <w:szCs w:val="24"/>
        </w:rPr>
        <w:br/>
      </w:r>
      <w:r w:rsidR="00B53BA2" w:rsidRPr="008830B2">
        <w:rPr>
          <w:rFonts w:ascii="Times New Roman" w:hAnsi="Times New Roman" w:cs="Times New Roman"/>
          <w:color w:val="000000"/>
          <w:sz w:val="24"/>
          <w:szCs w:val="24"/>
        </w:rPr>
        <w:t>Dugotrajna nefinancijska imovina je imovina čiji je vijek upotrebe duži od jedne godine i koja duže od jedne godine zadržava isti pojavni oblik.  </w:t>
      </w:r>
      <w:r w:rsidR="008830B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53BA2" w:rsidRPr="008830B2">
        <w:rPr>
          <w:rFonts w:ascii="Times New Roman" w:hAnsi="Times New Roman" w:cs="Times New Roman"/>
          <w:color w:val="000000"/>
          <w:sz w:val="24"/>
          <w:szCs w:val="24"/>
        </w:rPr>
        <w:t>Sitni inventar čine predmeti proizvedene nefinancijske imovine male vrijednosti koji se ne utroše jednokratnom upotrebom u procesu poslovanja. </w:t>
      </w:r>
    </w:p>
    <w:p w:rsidR="00B553EA" w:rsidRPr="00B53BA2" w:rsidRDefault="00B553EA" w:rsidP="006B4037">
      <w:pPr>
        <w:rPr>
          <w:rFonts w:ascii="Times New Roman" w:hAnsi="Times New Roman" w:cs="Times New Roman"/>
          <w:sz w:val="24"/>
          <w:szCs w:val="24"/>
        </w:rPr>
      </w:pPr>
    </w:p>
    <w:p w:rsidR="00B53BA2" w:rsidRPr="00B53BA2" w:rsidRDefault="008830B2" w:rsidP="008830B2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791935" w:rsidRPr="00B53BA2">
        <w:rPr>
          <w:rFonts w:ascii="Times New Roman" w:hAnsi="Times New Roman" w:cs="Times New Roman"/>
          <w:sz w:val="24"/>
          <w:szCs w:val="24"/>
        </w:rPr>
        <w:t>Članak 3.</w:t>
      </w:r>
      <w:r>
        <w:rPr>
          <w:rFonts w:ascii="Times New Roman" w:hAnsi="Times New Roman" w:cs="Times New Roman"/>
          <w:sz w:val="24"/>
          <w:szCs w:val="24"/>
        </w:rPr>
        <w:br/>
      </w:r>
      <w:r w:rsidR="00B53BA2" w:rsidRPr="00B53BA2">
        <w:rPr>
          <w:rFonts w:ascii="Times New Roman" w:hAnsi="Times New Roman" w:cs="Times New Roman"/>
          <w:color w:val="000000"/>
          <w:sz w:val="24"/>
          <w:szCs w:val="24"/>
        </w:rPr>
        <w:t xml:space="preserve">Imovina čiji je vijek trajanja duži od godine dana i čiji je pojedinačni trošak nabave veći od 3.500 kuna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sa PDV-om </w:t>
      </w:r>
      <w:r w:rsidR="00B53BA2" w:rsidRPr="00B53BA2">
        <w:rPr>
          <w:rFonts w:ascii="Times New Roman" w:hAnsi="Times New Roman" w:cs="Times New Roman"/>
          <w:color w:val="000000"/>
          <w:sz w:val="24"/>
          <w:szCs w:val="24"/>
        </w:rPr>
        <w:t>razvrstava se u dugotrajnu nefinancijsku imovinu te se vrijednost imovine ispravlja po prosječnim godišnjim stopama linearnom metodom.</w:t>
      </w:r>
    </w:p>
    <w:p w:rsidR="00B53BA2" w:rsidRDefault="00B53BA2" w:rsidP="006B403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8830B2" w:rsidRDefault="008830B2" w:rsidP="006B403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B53BA2" w:rsidRPr="00B53BA2" w:rsidRDefault="008830B2" w:rsidP="008830B2">
      <w:pPr>
        <w:pStyle w:val="StandardWeb"/>
        <w:rPr>
          <w:color w:val="000000"/>
        </w:rPr>
      </w:pPr>
      <w:r>
        <w:rPr>
          <w:color w:val="000000"/>
        </w:rPr>
        <w:lastRenderedPageBreak/>
        <w:t xml:space="preserve">                                                                  </w:t>
      </w:r>
      <w:r w:rsidR="00B53BA2" w:rsidRPr="00B53BA2">
        <w:rPr>
          <w:color w:val="000000"/>
        </w:rPr>
        <w:t>Članak 4.</w:t>
      </w:r>
      <w:r>
        <w:rPr>
          <w:color w:val="000000"/>
        </w:rPr>
        <w:br/>
      </w:r>
      <w:r w:rsidR="00B53BA2" w:rsidRPr="00B53BA2">
        <w:rPr>
          <w:color w:val="000000"/>
        </w:rPr>
        <w:t>Imovina čiji je vijek trajanja duži od godine dana i čiji je pojedinačni trošak nabave niži od 3.500 kuna</w:t>
      </w:r>
      <w:r>
        <w:rPr>
          <w:color w:val="000000"/>
        </w:rPr>
        <w:t xml:space="preserve"> sa PDV-om</w:t>
      </w:r>
      <w:r w:rsidR="00B53BA2" w:rsidRPr="00B53BA2">
        <w:rPr>
          <w:color w:val="000000"/>
        </w:rPr>
        <w:t xml:space="preserve"> razvrstava se u sitni inventar te se vrijednost imovine otpisuje jednokratno stavljanjem u upotrebu. </w:t>
      </w:r>
    </w:p>
    <w:p w:rsidR="00B53BA2" w:rsidRPr="00B53BA2" w:rsidRDefault="008830B2" w:rsidP="008830B2">
      <w:pPr>
        <w:pStyle w:val="StandardWeb"/>
        <w:rPr>
          <w:color w:val="000000"/>
        </w:rPr>
      </w:pPr>
      <w:r>
        <w:rPr>
          <w:color w:val="000000"/>
        </w:rPr>
        <w:t xml:space="preserve">                                                                  </w:t>
      </w:r>
      <w:r w:rsidR="00B53BA2" w:rsidRPr="00B53BA2">
        <w:rPr>
          <w:color w:val="000000"/>
        </w:rPr>
        <w:t>Članak 5.</w:t>
      </w:r>
      <w:r>
        <w:rPr>
          <w:color w:val="000000"/>
        </w:rPr>
        <w:br/>
      </w:r>
      <w:r w:rsidR="00B53BA2" w:rsidRPr="00B53BA2">
        <w:rPr>
          <w:color w:val="000000"/>
        </w:rPr>
        <w:t>Iznimno od članka 3. i 4. ove Odluke,  imovina iz odjeljka 0221 Uredska oprema i namještaj, odjeljka 0223 Oprema za održavanje i zaštitu te odjeljka 0227 Uređaji, strojevi i oprema za ostale namjene se bez obzira na pojedinačni trošak nabave razvrstava u dugotrajnu nefinancijsku imovinu te se vrijednost imovine ispravlja po prosječnim godišnjim stopama linearnom metodom. </w:t>
      </w:r>
    </w:p>
    <w:p w:rsidR="00B53BA2" w:rsidRPr="00B53BA2" w:rsidRDefault="00B53BA2" w:rsidP="008830B2">
      <w:pPr>
        <w:pStyle w:val="StandardWeb"/>
        <w:jc w:val="center"/>
        <w:rPr>
          <w:color w:val="000000"/>
        </w:rPr>
      </w:pPr>
      <w:r w:rsidRPr="00B53BA2">
        <w:rPr>
          <w:color w:val="000000"/>
        </w:rPr>
        <w:t>Članak 6.</w:t>
      </w:r>
      <w:r w:rsidR="008830B2">
        <w:rPr>
          <w:color w:val="000000"/>
        </w:rPr>
        <w:br/>
      </w:r>
      <w:r w:rsidRPr="00B53BA2">
        <w:rPr>
          <w:color w:val="000000"/>
        </w:rPr>
        <w:t>Predmeti iste vrste dugotrajne nefinancijske imovine razvrstavaju se u istu skupinu računa.</w:t>
      </w:r>
    </w:p>
    <w:p w:rsidR="00B53BA2" w:rsidRPr="00B53BA2" w:rsidRDefault="008830B2" w:rsidP="008830B2">
      <w:pPr>
        <w:pStyle w:val="StandardWeb"/>
        <w:rPr>
          <w:color w:val="000000"/>
        </w:rPr>
      </w:pPr>
      <w:r>
        <w:rPr>
          <w:color w:val="000000"/>
        </w:rPr>
        <w:t xml:space="preserve">                                                                    </w:t>
      </w:r>
      <w:r w:rsidR="00B53BA2" w:rsidRPr="00B53BA2">
        <w:rPr>
          <w:color w:val="000000"/>
        </w:rPr>
        <w:t>Članak 7.</w:t>
      </w:r>
      <w:r>
        <w:rPr>
          <w:color w:val="000000"/>
        </w:rPr>
        <w:br/>
      </w:r>
      <w:r w:rsidR="00B53BA2" w:rsidRPr="00B53BA2">
        <w:rPr>
          <w:color w:val="000000"/>
        </w:rPr>
        <w:t xml:space="preserve">Ova Odluka stupa na snagu danom donošenja, a objavit će se na službenoj mrežnoj stranici Općine </w:t>
      </w:r>
      <w:r>
        <w:rPr>
          <w:color w:val="000000"/>
        </w:rPr>
        <w:t>Grožnjan Grisignana</w:t>
      </w:r>
      <w:r w:rsidR="00B53BA2" w:rsidRPr="00B53BA2">
        <w:rPr>
          <w:color w:val="000000"/>
        </w:rPr>
        <w:t>. </w:t>
      </w:r>
    </w:p>
    <w:p w:rsidR="00B53BA2" w:rsidRDefault="00B53BA2" w:rsidP="006B4037">
      <w:pPr>
        <w:rPr>
          <w:color w:val="000000"/>
          <w:sz w:val="27"/>
          <w:szCs w:val="27"/>
        </w:rPr>
      </w:pPr>
    </w:p>
    <w:p w:rsidR="0050699F" w:rsidRDefault="0050699F" w:rsidP="0050699F">
      <w:pPr>
        <w:pStyle w:val="Odlomakpopisa"/>
        <w:tabs>
          <w:tab w:val="left" w:pos="6396"/>
        </w:tabs>
        <w:rPr>
          <w:rFonts w:ascii="Times New Roman" w:hAnsi="Times New Roman" w:cs="Times New Roman"/>
          <w:sz w:val="24"/>
          <w:szCs w:val="24"/>
        </w:rPr>
      </w:pPr>
    </w:p>
    <w:p w:rsidR="0050699F" w:rsidRDefault="0050699F" w:rsidP="0050699F">
      <w:pPr>
        <w:pStyle w:val="Odlomakpopisa"/>
        <w:tabs>
          <w:tab w:val="left" w:pos="6396"/>
        </w:tabs>
        <w:rPr>
          <w:rFonts w:ascii="Times New Roman" w:hAnsi="Times New Roman" w:cs="Times New Roman"/>
          <w:sz w:val="24"/>
          <w:szCs w:val="24"/>
        </w:rPr>
      </w:pPr>
    </w:p>
    <w:p w:rsidR="0050699F" w:rsidRDefault="0050699F" w:rsidP="0050699F">
      <w:pPr>
        <w:pStyle w:val="Odlomakpopisa"/>
        <w:tabs>
          <w:tab w:val="left" w:pos="6396"/>
        </w:tabs>
        <w:rPr>
          <w:rFonts w:ascii="Times New Roman" w:hAnsi="Times New Roman" w:cs="Times New Roman"/>
          <w:sz w:val="24"/>
          <w:szCs w:val="24"/>
        </w:rPr>
      </w:pPr>
    </w:p>
    <w:p w:rsidR="00716B78" w:rsidRPr="0050699F" w:rsidRDefault="006B4037" w:rsidP="0050699F">
      <w:pPr>
        <w:pStyle w:val="Odlomakpopisa"/>
        <w:tabs>
          <w:tab w:val="left" w:pos="6396"/>
        </w:tabs>
        <w:rPr>
          <w:rFonts w:ascii="Times New Roman" w:hAnsi="Times New Roman" w:cs="Times New Roman"/>
          <w:sz w:val="24"/>
          <w:szCs w:val="24"/>
        </w:rPr>
      </w:pPr>
      <w:r w:rsidRPr="0050699F">
        <w:rPr>
          <w:rFonts w:ascii="Times New Roman" w:hAnsi="Times New Roman" w:cs="Times New Roman"/>
          <w:sz w:val="24"/>
          <w:szCs w:val="24"/>
        </w:rPr>
        <w:tab/>
        <w:t>Načelnik:</w:t>
      </w:r>
    </w:p>
    <w:p w:rsidR="006B4037" w:rsidRPr="006B4037" w:rsidRDefault="006B4037" w:rsidP="006B4037">
      <w:pPr>
        <w:tabs>
          <w:tab w:val="left" w:pos="639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Claudio Stocovaz, prof.</w:t>
      </w:r>
    </w:p>
    <w:sectPr w:rsidR="006B4037" w:rsidRPr="006B4037" w:rsidSect="004A2856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75B" w:rsidRDefault="00E4475B" w:rsidP="008830B2">
      <w:pPr>
        <w:spacing w:after="0" w:line="240" w:lineRule="auto"/>
      </w:pPr>
      <w:r>
        <w:separator/>
      </w:r>
    </w:p>
  </w:endnote>
  <w:endnote w:type="continuationSeparator" w:id="0">
    <w:p w:rsidR="00E4475B" w:rsidRDefault="00E4475B" w:rsidP="00883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5072079"/>
      <w:docPartObj>
        <w:docPartGallery w:val="Page Numbers (Bottom of Page)"/>
        <w:docPartUnique/>
      </w:docPartObj>
    </w:sdtPr>
    <w:sdtContent>
      <w:sdt>
        <w:sdtPr>
          <w:id w:val="436279680"/>
          <w:docPartObj>
            <w:docPartGallery w:val="Page Numbers (Top of Page)"/>
            <w:docPartUnique/>
          </w:docPartObj>
        </w:sdtPr>
        <w:sdtContent>
          <w:p w:rsidR="00E4475B" w:rsidRDefault="00E4475B">
            <w:pPr>
              <w:pStyle w:val="Podnoje"/>
              <w:jc w:val="right"/>
            </w:pPr>
            <w:r>
              <w:t xml:space="preserve">Stranica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074D03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od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074D03"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E4475B" w:rsidRDefault="00E4475B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75B" w:rsidRDefault="00E4475B" w:rsidP="008830B2">
      <w:pPr>
        <w:spacing w:after="0" w:line="240" w:lineRule="auto"/>
      </w:pPr>
      <w:r>
        <w:separator/>
      </w:r>
    </w:p>
  </w:footnote>
  <w:footnote w:type="continuationSeparator" w:id="0">
    <w:p w:rsidR="00E4475B" w:rsidRDefault="00E4475B" w:rsidP="008830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3C0503"/>
    <w:multiLevelType w:val="hybridMultilevel"/>
    <w:tmpl w:val="7EB0C0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6B78"/>
    <w:rsid w:val="00063226"/>
    <w:rsid w:val="00074D03"/>
    <w:rsid w:val="00103359"/>
    <w:rsid w:val="001144A1"/>
    <w:rsid w:val="001A14F7"/>
    <w:rsid w:val="001D1669"/>
    <w:rsid w:val="002547A4"/>
    <w:rsid w:val="00264F4D"/>
    <w:rsid w:val="002A3ED2"/>
    <w:rsid w:val="002A5468"/>
    <w:rsid w:val="00342757"/>
    <w:rsid w:val="003A6556"/>
    <w:rsid w:val="003D5398"/>
    <w:rsid w:val="00495F47"/>
    <w:rsid w:val="004A2856"/>
    <w:rsid w:val="0050699F"/>
    <w:rsid w:val="00510688"/>
    <w:rsid w:val="00566FF0"/>
    <w:rsid w:val="00604973"/>
    <w:rsid w:val="00650A0E"/>
    <w:rsid w:val="006B4037"/>
    <w:rsid w:val="00707384"/>
    <w:rsid w:val="00716B78"/>
    <w:rsid w:val="00783799"/>
    <w:rsid w:val="00791935"/>
    <w:rsid w:val="00797907"/>
    <w:rsid w:val="008830B2"/>
    <w:rsid w:val="008C0A34"/>
    <w:rsid w:val="009C1610"/>
    <w:rsid w:val="009D46BC"/>
    <w:rsid w:val="00A96A1C"/>
    <w:rsid w:val="00B53BA2"/>
    <w:rsid w:val="00B553EA"/>
    <w:rsid w:val="00C22ABC"/>
    <w:rsid w:val="00C97EDA"/>
    <w:rsid w:val="00D54B1A"/>
    <w:rsid w:val="00E4289C"/>
    <w:rsid w:val="00E4475B"/>
    <w:rsid w:val="00E706A7"/>
    <w:rsid w:val="00EF5BC6"/>
    <w:rsid w:val="00F85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B78"/>
    <w:pPr>
      <w:spacing w:after="160" w:line="256" w:lineRule="auto"/>
    </w:pPr>
  </w:style>
  <w:style w:type="paragraph" w:styleId="Naslov2">
    <w:name w:val="heading 2"/>
    <w:basedOn w:val="Normal"/>
    <w:next w:val="Normal"/>
    <w:link w:val="Naslov2Char"/>
    <w:qFormat/>
    <w:rsid w:val="00A96A1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2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42757"/>
    <w:pPr>
      <w:ind w:left="720"/>
      <w:contextualSpacing/>
    </w:pPr>
  </w:style>
  <w:style w:type="character" w:customStyle="1" w:styleId="Naslov2Char">
    <w:name w:val="Naslov 2 Char"/>
    <w:basedOn w:val="Zadanifontodlomka"/>
    <w:link w:val="Naslov2"/>
    <w:rsid w:val="00A96A1C"/>
    <w:rPr>
      <w:rFonts w:ascii="Times New Roman" w:eastAsia="Times New Roman" w:hAnsi="Times New Roman" w:cs="Times New Roman"/>
      <w:b/>
      <w:spacing w:val="22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96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96A1C"/>
    <w:rPr>
      <w:rFonts w:ascii="Tahoma" w:hAnsi="Tahoma" w:cs="Tahoma"/>
      <w:sz w:val="16"/>
      <w:szCs w:val="16"/>
    </w:rPr>
  </w:style>
  <w:style w:type="character" w:styleId="Hiperveza">
    <w:name w:val="Hyperlink"/>
    <w:basedOn w:val="Zadanifontodlomka"/>
    <w:uiPriority w:val="99"/>
    <w:unhideWhenUsed/>
    <w:rsid w:val="0050699F"/>
    <w:rPr>
      <w:color w:val="0000FF" w:themeColor="hyperlink"/>
      <w:u w:val="single"/>
    </w:rPr>
  </w:style>
  <w:style w:type="paragraph" w:styleId="StandardWeb">
    <w:name w:val="Normal (Web)"/>
    <w:basedOn w:val="Normal"/>
    <w:uiPriority w:val="99"/>
    <w:semiHidden/>
    <w:unhideWhenUsed/>
    <w:rsid w:val="00B53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8830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8830B2"/>
  </w:style>
  <w:style w:type="paragraph" w:styleId="Podnoje">
    <w:name w:val="footer"/>
    <w:basedOn w:val="Normal"/>
    <w:link w:val="PodnojeChar"/>
    <w:uiPriority w:val="99"/>
    <w:unhideWhenUsed/>
    <w:rsid w:val="008830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830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2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Eda</dc:creator>
  <cp:lastModifiedBy>Eda</cp:lastModifiedBy>
  <cp:revision>6</cp:revision>
  <cp:lastPrinted>2021-01-20T12:43:00Z</cp:lastPrinted>
  <dcterms:created xsi:type="dcterms:W3CDTF">2021-01-20T12:42:00Z</dcterms:created>
  <dcterms:modified xsi:type="dcterms:W3CDTF">2021-01-20T13:36:00Z</dcterms:modified>
</cp:coreProperties>
</file>