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rtl w:val="0"/>
        </w:rPr>
        <w:t xml:space="preserve">                                    </w:t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 xml:space="preserve">Na temelju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lanka 42. Statuta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Grisignana (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</w:rPr>
        <w:t>Slu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bene novine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2/21), Zakona o vlasni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tvu i drugim stvarnim pravima (Narodne novine br. 91/96, 68/98, 137/99, 22/00, 73/00, 129/00, 114/01, 79/06, 141/06, 146/08, 38/09, 153/09, 143/12 i 152/14, 81/15 i 94/17),  Odluke o uvjetima, na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inu i postupku upravljanja i raspolaganja nekretninama u vlasni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tvu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(</w:t>
      </w:r>
      <w:r>
        <w:rPr>
          <w:rFonts w:ascii="Times Roman" w:hAnsi="Times Roman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</w:rPr>
        <w:t>Slu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bene novine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4/20),  Procjenidbenih elaborata izra</w:t>
      </w:r>
      <w:r>
        <w:rPr>
          <w:rFonts w:ascii="Times Roman" w:hAnsi="Times Roman" w:hint="default"/>
          <w:rtl w:val="0"/>
        </w:rPr>
        <w:t>đ</w:t>
      </w:r>
      <w:r>
        <w:rPr>
          <w:rFonts w:ascii="Times Roman" w:hAnsi="Times Roman"/>
          <w:rtl w:val="0"/>
        </w:rPr>
        <w:t>enih od stalnog sudskog vje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taka gra</w:t>
      </w:r>
      <w:r>
        <w:rPr>
          <w:rFonts w:ascii="Times Roman" w:hAnsi="Times Roman" w:hint="default"/>
          <w:rtl w:val="0"/>
        </w:rPr>
        <w:t>đ</w:t>
      </w:r>
      <w:r>
        <w:rPr>
          <w:rFonts w:ascii="Times Roman" w:hAnsi="Times Roman"/>
          <w:rtl w:val="0"/>
        </w:rPr>
        <w:t>evne struke od  04. travnja 2022.g., Zapisnika sa sjednice Povjerenstva za provo</w:t>
      </w:r>
      <w:r>
        <w:rPr>
          <w:rFonts w:ascii="Times Roman" w:hAnsi="Times Roman" w:hint="default"/>
          <w:rtl w:val="0"/>
        </w:rPr>
        <w:t>đ</w:t>
      </w:r>
      <w:r>
        <w:rPr>
          <w:rFonts w:ascii="Times Roman" w:hAnsi="Times Roman"/>
          <w:rtl w:val="0"/>
        </w:rPr>
        <w:t>enje natje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aja za zakup i prodaju nekretnina u vlasni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tvu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 xml:space="preserve">njan od 27. travnja 2022.g., te 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 xml:space="preserve">albi Ivice Markulina iz Hrvaca, Rumin 16 i Ivana Vrbata iz Umaga, 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  <w:lang w:val="it-IT"/>
        </w:rPr>
        <w:t>rtava fa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izma 12, po odvjetnici Petri Kosanovi</w:t>
      </w:r>
      <w:r>
        <w:rPr>
          <w:rFonts w:ascii="Times Roman" w:hAnsi="Times Roman" w:hint="default"/>
          <w:rtl w:val="0"/>
        </w:rPr>
        <w:t xml:space="preserve">ć </w:t>
      </w:r>
      <w:r>
        <w:rPr>
          <w:rFonts w:ascii="Times Roman" w:hAnsi="Times Roman"/>
          <w:rtl w:val="0"/>
        </w:rPr>
        <w:t>Vrbat iz Umaga, Obala J.B. Tita 3, Umag,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</w:rPr>
        <w:t>insko vije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nl-NL"/>
        </w:rPr>
        <w:t>e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Grisignana,  na sjednici odr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 xml:space="preserve">anoj dana 14. srpnja 2022.g., donijelo je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>ODLUKU O IZMJENI ODLUKE O PRIHVATU NAJPOVOLJNIJIH PONUDA I SKLAPANJU UGOVORA TEMELJEM NATJE</w:t>
      </w:r>
      <w:r>
        <w:rPr>
          <w:rFonts w:ascii="Times Roman" w:hAnsi="Times Roman" w:hint="default"/>
          <w:b w:val="1"/>
          <w:bCs w:val="1"/>
          <w:rtl w:val="0"/>
        </w:rPr>
        <w:t>Č</w:t>
      </w:r>
      <w:r>
        <w:rPr>
          <w:rFonts w:ascii="Times Roman" w:hAnsi="Times Roman"/>
          <w:b w:val="1"/>
          <w:bCs w:val="1"/>
          <w:rtl w:val="0"/>
        </w:rPr>
        <w:t>AJA ZA PRODAJU NEKRETNINA U VLASNI</w:t>
      </w:r>
      <w:r>
        <w:rPr>
          <w:rFonts w:ascii="Times Roman" w:hAnsi="Times Roman" w:hint="default"/>
          <w:b w:val="1"/>
          <w:bCs w:val="1"/>
          <w:rtl w:val="0"/>
        </w:rPr>
        <w:t>Š</w:t>
      </w:r>
      <w:r>
        <w:rPr>
          <w:rFonts w:ascii="Times Roman" w:hAnsi="Times Roman"/>
          <w:b w:val="1"/>
          <w:bCs w:val="1"/>
          <w:rtl w:val="0"/>
        </w:rPr>
        <w:t>TVU OP</w:t>
      </w:r>
      <w:r>
        <w:rPr>
          <w:rFonts w:ascii="Times Roman" w:hAnsi="Times Roman" w:hint="default"/>
          <w:b w:val="1"/>
          <w:bCs w:val="1"/>
          <w:rtl w:val="0"/>
        </w:rPr>
        <w:t>Ć</w:t>
      </w:r>
      <w:r>
        <w:rPr>
          <w:rFonts w:ascii="Times Roman" w:hAnsi="Times Roman"/>
          <w:b w:val="1"/>
          <w:bCs w:val="1"/>
          <w:rtl w:val="0"/>
          <w:lang w:val="de-DE"/>
        </w:rPr>
        <w:t>INE GRO</w:t>
      </w:r>
      <w:r>
        <w:rPr>
          <w:rFonts w:ascii="Times Roman" w:hAnsi="Times Roman" w:hint="default"/>
          <w:b w:val="1"/>
          <w:bCs w:val="1"/>
          <w:rtl w:val="0"/>
        </w:rPr>
        <w:t>Ž</w:t>
      </w:r>
      <w:r>
        <w:rPr>
          <w:rFonts w:ascii="Times Roman" w:hAnsi="Times Roman"/>
          <w:b w:val="1"/>
          <w:bCs w:val="1"/>
          <w:rtl w:val="0"/>
        </w:rPr>
        <w:t>NJAN GRISIGNANA OD 15. TRAVNJA 2022.G., KLASA:940-06/22-01/17 od 18. svibnja 2022.g.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b w:val="1"/>
          <w:bCs w:val="1"/>
          <w:rtl w:val="0"/>
        </w:rPr>
      </w:pP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 xml:space="preserve">lanak 1. 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</w:rPr>
        <w:t xml:space="preserve">U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lanku 1. Odluke, tekst iznad tabele i podaci pod rednim brojem 5. u tabeli predmetne Odluke mijenjaju se i glase: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>Nala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e se Jedinstvenom upravnom odjelu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Grisignana, da na temelju Zapisnika Povjerenstva za provo</w:t>
      </w:r>
      <w:r>
        <w:rPr>
          <w:rFonts w:ascii="Times Roman" w:hAnsi="Times Roman" w:hint="default"/>
          <w:rtl w:val="0"/>
        </w:rPr>
        <w:t>đ</w:t>
      </w:r>
      <w:r>
        <w:rPr>
          <w:rFonts w:ascii="Times Roman" w:hAnsi="Times Roman"/>
          <w:rtl w:val="0"/>
        </w:rPr>
        <w:t>enje natje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aja za zakup i prodaju nekretnina u vlasni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tvu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Grisignana od 27. travnja 2022.g. i ove Odluke sklopi ugovor o prodaji nekretnine iz natje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aja objavljenog 15. travnja 2022.g., s najpovoljnijim ponuditeljem, kako slijedi: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</w:r>
    </w:p>
    <w:tbl>
      <w:tblPr>
        <w:tblW w:w="1570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989"/>
        <w:gridCol w:w="1405"/>
        <w:gridCol w:w="1761"/>
        <w:gridCol w:w="1478"/>
        <w:gridCol w:w="1621"/>
        <w:gridCol w:w="1197"/>
        <w:gridCol w:w="1761"/>
        <w:gridCol w:w="3452"/>
        <w:gridCol w:w="2042"/>
      </w:tblGrid>
      <w:tr>
        <w:tblPrEx>
          <w:shd w:val="clear" w:color="auto" w:fill="auto"/>
        </w:tblPrEx>
        <w:trPr>
          <w:trHeight w:val="1047" w:hRule="atLeast"/>
        </w:trPr>
        <w:tc>
          <w:tcPr>
            <w:tcW w:type="dxa" w:w="9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Red.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Br.</w:t>
            </w:r>
          </w:p>
        </w:tc>
        <w:tc>
          <w:tcPr>
            <w:tcW w:type="dxa" w:w="140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Adresa</w:t>
            </w:r>
          </w:p>
        </w:tc>
        <w:tc>
          <w:tcPr>
            <w:tcW w:type="dxa" w:w="17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k.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č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. br.</w:t>
            </w:r>
          </w:p>
        </w:tc>
        <w:tc>
          <w:tcPr>
            <w:tcW w:type="dxa" w:w="14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k.o.</w:t>
            </w:r>
          </w:p>
        </w:tc>
        <w:tc>
          <w:tcPr>
            <w:tcW w:type="dxa" w:w="162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Povr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š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ina zemlji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š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ta u katastarskom operatu u m2</w:t>
            </w:r>
          </w:p>
        </w:tc>
        <w:tc>
          <w:tcPr>
            <w:tcW w:type="dxa" w:w="119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Korisna povr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š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ina objekta u m2</w:t>
            </w:r>
          </w:p>
        </w:tc>
        <w:tc>
          <w:tcPr>
            <w:tcW w:type="dxa" w:w="17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Namjena</w:t>
            </w:r>
          </w:p>
        </w:tc>
        <w:tc>
          <w:tcPr>
            <w:tcW w:type="dxa" w:w="345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Kupac</w:t>
            </w:r>
          </w:p>
        </w:tc>
        <w:tc>
          <w:tcPr>
            <w:tcW w:type="dxa" w:w="20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Najvi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š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a postignuta cijena u kn</w:t>
            </w:r>
          </w:p>
        </w:tc>
      </w:tr>
      <w:tr>
        <w:tblPrEx>
          <w:shd w:val="clear" w:color="auto" w:fill="auto"/>
        </w:tblPrEx>
        <w:trPr>
          <w:trHeight w:val="527" w:hRule="atLeast"/>
        </w:trPr>
        <w:tc>
          <w:tcPr>
            <w:tcW w:type="dxa" w:w="98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5.</w:t>
            </w:r>
          </w:p>
        </w:tc>
        <w:tc>
          <w:tcPr>
            <w:tcW w:type="dxa" w:w="140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Sa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ž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oni</w:t>
            </w:r>
          </w:p>
        </w:tc>
        <w:tc>
          <w:tcPr>
            <w:tcW w:type="dxa" w:w="17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393 zgr. (ru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š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evina)</w:t>
            </w:r>
          </w:p>
        </w:tc>
        <w:tc>
          <w:tcPr>
            <w:tcW w:type="dxa" w:w="147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Gro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ž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njan</w:t>
            </w:r>
          </w:p>
        </w:tc>
        <w:tc>
          <w:tcPr>
            <w:tcW w:type="dxa" w:w="162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23</w:t>
            </w:r>
          </w:p>
        </w:tc>
        <w:tc>
          <w:tcPr>
            <w:tcW w:type="dxa" w:w="119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33,12</w:t>
            </w:r>
          </w:p>
        </w:tc>
        <w:tc>
          <w:tcPr>
            <w:tcW w:type="dxa" w:w="17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>stambena</w:t>
            </w:r>
          </w:p>
        </w:tc>
        <w:tc>
          <w:tcPr>
            <w:tcW w:type="dxa" w:w="345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sz w:val="22"/>
                <w:szCs w:val="22"/>
                <w:rtl w:val="0"/>
              </w:rPr>
              <w:t xml:space="preserve">IVAN VRBAT, UMAG, 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Ž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rtava fa</w:t>
            </w:r>
            <w:r>
              <w:rPr>
                <w:rFonts w:ascii="Times Roman" w:hAnsi="Times Roman" w:hint="default"/>
                <w:sz w:val="22"/>
                <w:szCs w:val="22"/>
                <w:rtl w:val="0"/>
              </w:rPr>
              <w:t>š</w:t>
            </w:r>
            <w:r>
              <w:rPr>
                <w:rFonts w:ascii="Times Roman" w:hAnsi="Times Roman"/>
                <w:sz w:val="22"/>
                <w:szCs w:val="22"/>
                <w:rtl w:val="0"/>
              </w:rPr>
              <w:t>izma 12</w:t>
            </w:r>
          </w:p>
        </w:tc>
        <w:tc>
          <w:tcPr>
            <w:tcW w:type="dxa" w:w="204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76.000,00</w:t>
            </w:r>
          </w:p>
        </w:tc>
      </w:tr>
    </w:tbl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5760" w:right="0" w:firstLine="72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lanak 2.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</w:rPr>
        <w:t xml:space="preserve">Ostalo navedeno u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 xml:space="preserve">lanku 1. predmetne Odluke te sve navedeno u ostalim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lancima Odluke ostaje nepromijenjeno.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5760" w:right="0" w:firstLine="72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lanak 3.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</w:rPr>
        <w:t xml:space="preserve">  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>Ova Odluka stupa na snagu dan nakon objave u Slu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benim novinama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 xml:space="preserve">njan Grisignana, a objavit 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</w:rPr>
        <w:t>e se i na slu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benim web stranicama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Grisignana i na Oglasnoj plo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  <w:lang w:val="nl-NL"/>
        </w:rPr>
        <w:t>i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 Grisignana.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</w:rPr>
        <w:t>KLASA: 940-06/22-01/17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</w:rPr>
        <w:t>UR.BROJ: 2163-18-01/1-22-40</w:t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  <w:lang w:val="de-DE"/>
        </w:rPr>
        <w:t>U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njanu, 14. srpnja 2022.g.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ab/>
        <w:tab/>
        <w:tab/>
        <w:tab/>
        <w:tab/>
        <w:t xml:space="preserve">               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hAnsi="Times Roman"/>
          <w:rtl w:val="0"/>
        </w:rPr>
        <w:t xml:space="preserve">                                                                                                 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</w:rPr>
        <w:t>INSKO VIJE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</w:rPr>
        <w:t>E OP</w:t>
      </w:r>
      <w:r>
        <w:rPr>
          <w:rFonts w:ascii="Times Roman" w:hAnsi="Times Roman" w:hint="default"/>
          <w:rtl w:val="0"/>
        </w:rPr>
        <w:t>Ć</w:t>
      </w:r>
      <w:r>
        <w:rPr>
          <w:rFonts w:ascii="Times Roman" w:hAnsi="Times Roman"/>
          <w:rtl w:val="0"/>
          <w:lang w:val="de-DE"/>
        </w:rPr>
        <w:t>INE GRO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  <w:lang w:val="pt-PT"/>
        </w:rPr>
        <w:t>NJAN GRISIGNANA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ab/>
        <w:tab/>
        <w:tab/>
        <w:tab/>
        <w:tab/>
        <w:tab/>
        <w:tab/>
        <w:tab/>
        <w:tab/>
        <w:tab/>
        <w:tab/>
        <w:t>PREDSJEDNICA: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tab/>
        <w:tab/>
        <w:tab/>
        <w:tab/>
        <w:tab/>
        <w:tab/>
        <w:tab/>
        <w:tab/>
        <w:tab/>
        <w:tab/>
        <w:tab/>
        <w:tab/>
        <w:t>Roberta Veroneze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tl w:val="0"/>
        </w:rPr>
      </w:pPr>
      <w:r>
        <w:rPr>
          <w:rFonts w:ascii="Times Roman" w:hAnsi="Times Roman"/>
          <w:sz w:val="20"/>
          <w:szCs w:val="20"/>
          <w:rtl w:val="0"/>
        </w:rPr>
        <w:t>.</w:t>
      </w:r>
    </w:p>
    <w:sectPr>
      <w:headerReference w:type="default" r:id="rId4"/>
      <w:footerReference w:type="default" r:id="rId5"/>
      <w:pgSz w:w="16838" w:h="11906" w:orient="landscape"/>
      <w:pgMar w:top="426" w:right="1418" w:bottom="142" w:left="1418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il tablice 2">
    <w:name w:val="Stil tablice 2"/>
    <w:next w:val="Stil tablic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