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  <w:r>
        <w:rPr>
          <w:rFonts w:ascii="Times Roman" w:hAnsi="Times Roman"/>
          <w:sz w:val="24"/>
          <w:szCs w:val="24"/>
          <w:rtl w:val="0"/>
        </w:rPr>
        <w:t xml:space="preserve">                                    </w:t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Times Roman" w:cs="Times Roman" w:hAnsi="Times Roman" w:eastAsia="Times Roman"/>
          <w:sz w:val="24"/>
          <w:szCs w:val="24"/>
          <w:rtl w:val="0"/>
        </w:rPr>
        <w:tab/>
        <w:t xml:space="preserve">Na temelju 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lanka 39. Statuta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(</w:t>
      </w:r>
      <w:r>
        <w:rPr>
          <w:rFonts w:ascii="Times Roman" w:hAnsi="Times Roman" w:hint="default"/>
          <w:sz w:val="24"/>
          <w:szCs w:val="24"/>
          <w:rtl w:val="1"/>
          <w:lang w:val="ar-SA" w:bidi="ar-SA"/>
        </w:rPr>
        <w:t>“</w:t>
      </w:r>
      <w:r>
        <w:rPr>
          <w:rFonts w:ascii="Times Roman" w:hAnsi="Times Roman"/>
          <w:sz w:val="24"/>
          <w:szCs w:val="24"/>
          <w:rtl w:val="0"/>
        </w:rPr>
        <w:t>Slu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bene novine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14/19 i 1/20), Zakona o vlasni</w:t>
      </w:r>
      <w:r>
        <w:rPr>
          <w:rFonts w:ascii="Times Roman" w:hAnsi="Times Roman" w:hint="default"/>
          <w:sz w:val="24"/>
          <w:szCs w:val="24"/>
          <w:rtl w:val="0"/>
        </w:rPr>
        <w:t>š</w:t>
      </w:r>
      <w:r>
        <w:rPr>
          <w:rFonts w:ascii="Times Roman" w:hAnsi="Times Roman"/>
          <w:sz w:val="24"/>
          <w:szCs w:val="24"/>
          <w:rtl w:val="0"/>
        </w:rPr>
        <w:t>tvu i drugim stvarnim pravima (Narodne novine br. 91/96, 68/98, 137/99, 22/00, 73/00, 129/00, 114/01, 79/06, 141/06, 146/08, 38/09, 153/09, 143/12 i 152/14, 81/15 i 94/17),  Odluke o na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inu, uvjetima i postupku raspolaganja imovinom u vlasni</w:t>
      </w:r>
      <w:r>
        <w:rPr>
          <w:rFonts w:ascii="Times Roman" w:hAnsi="Times Roman" w:hint="default"/>
          <w:sz w:val="24"/>
          <w:szCs w:val="24"/>
          <w:rtl w:val="0"/>
        </w:rPr>
        <w:t>š</w:t>
      </w:r>
      <w:r>
        <w:rPr>
          <w:rFonts w:ascii="Times Roman" w:hAnsi="Times Roman"/>
          <w:sz w:val="24"/>
          <w:szCs w:val="24"/>
          <w:rtl w:val="0"/>
        </w:rPr>
        <w:t>tvu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(</w:t>
      </w:r>
      <w:r>
        <w:rPr>
          <w:rFonts w:ascii="Times Roman" w:hAnsi="Times Roman" w:hint="default"/>
          <w:sz w:val="24"/>
          <w:szCs w:val="24"/>
          <w:rtl w:val="1"/>
          <w:lang w:val="ar-SA" w:bidi="ar-SA"/>
        </w:rPr>
        <w:t>“</w:t>
      </w:r>
      <w:r>
        <w:rPr>
          <w:rFonts w:ascii="Times Roman" w:hAnsi="Times Roman"/>
          <w:sz w:val="24"/>
          <w:szCs w:val="24"/>
          <w:rtl w:val="0"/>
        </w:rPr>
        <w:t>Slu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bene novine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 xml:space="preserve">njan 7/16),  u vezi sa 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l. 48. Zakona o lokalnoj i podru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noj (regionalnoj) samoupravi (19/13- pro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i</w:t>
      </w:r>
      <w:r>
        <w:rPr>
          <w:rFonts w:ascii="Times Roman" w:hAnsi="Times Roman" w:hint="default"/>
          <w:sz w:val="24"/>
          <w:szCs w:val="24"/>
          <w:rtl w:val="0"/>
        </w:rPr>
        <w:t>šć</w:t>
      </w:r>
      <w:r>
        <w:rPr>
          <w:rFonts w:ascii="Times Roman" w:hAnsi="Times Roman"/>
          <w:sz w:val="24"/>
          <w:szCs w:val="24"/>
          <w:rtl w:val="0"/>
        </w:rPr>
        <w:t>eni tekst,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</w:rPr>
        <w:t>insko vije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nl-NL"/>
        </w:rPr>
        <w:t>e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Grisignana,  na sjednici odr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 xml:space="preserve">anoj dana 27. svibnja 2020.g., donijelo je 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  <w:r>
        <w:rPr>
          <w:rFonts w:ascii="Times Roman" w:hAnsi="Times Roman"/>
          <w:b w:val="1"/>
          <w:bCs w:val="1"/>
          <w:sz w:val="24"/>
          <w:szCs w:val="24"/>
          <w:rtl w:val="0"/>
        </w:rPr>
        <w:t xml:space="preserve"> ODLUKU O PRIHVATU NAJPOVOLJNIJIH PONUDA I SKLAPANJU UGOVORA TEMELJEM NATJE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Roman" w:hAnsi="Times Roman"/>
          <w:b w:val="1"/>
          <w:bCs w:val="1"/>
          <w:sz w:val="24"/>
          <w:szCs w:val="24"/>
          <w:rtl w:val="0"/>
        </w:rPr>
        <w:t>AJA ZA PRODAJU NEKRETNINA U VLASNI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Š</w:t>
      </w:r>
      <w:r>
        <w:rPr>
          <w:rFonts w:ascii="Times Roman" w:hAnsi="Times Roman"/>
          <w:b w:val="1"/>
          <w:bCs w:val="1"/>
          <w:sz w:val="24"/>
          <w:szCs w:val="24"/>
          <w:rtl w:val="0"/>
        </w:rPr>
        <w:t>TVU OP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Roman" w:hAnsi="Times Roman"/>
          <w:b w:val="1"/>
          <w:bCs w:val="1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Ž</w:t>
      </w:r>
      <w:r>
        <w:rPr>
          <w:rFonts w:ascii="Times Roman" w:hAnsi="Times Roman"/>
          <w:b w:val="1"/>
          <w:bCs w:val="1"/>
          <w:sz w:val="24"/>
          <w:szCs w:val="24"/>
          <w:rtl w:val="0"/>
        </w:rPr>
        <w:t>NJAN GRISIGNANA OD 18. SVIBNJA 2020.G.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lanak 1. 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Nala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e se Jedinstvenom upravnom odjelu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Grisignana, da na temelju Zapisnika Povjerenstva za provo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enje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za zakup i prodaju nekretnina u vlasni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tvu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od 27. svibnja 2020.g.i ove Odluke sklopi ugovor o prodaji i zamjeni nekretnina iz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objavljenog 18. svibnja 2020.g., s najpovoljnijim ponuditeljima, kako slijedi: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a) zemlji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te i zgrade unutar gra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evinskih podru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ja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</w:t>
      </w:r>
    </w:p>
    <w:tbl>
      <w:tblPr>
        <w:tblW w:w="1574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885"/>
        <w:gridCol w:w="1061"/>
        <w:gridCol w:w="2053"/>
        <w:gridCol w:w="1769"/>
        <w:gridCol w:w="1486"/>
        <w:gridCol w:w="1485"/>
        <w:gridCol w:w="3045"/>
        <w:gridCol w:w="1911"/>
        <w:gridCol w:w="2053"/>
      </w:tblGrid>
      <w:tr>
        <w:tblPrEx>
          <w:shd w:val="clear" w:color="auto" w:fill="auto"/>
        </w:tblPrEx>
        <w:trPr>
          <w:trHeight w:val="1047" w:hRule="atLeast"/>
        </w:trPr>
        <w:tc>
          <w:tcPr>
            <w:tcW w:type="dxa" w:w="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Red.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Br.</w:t>
            </w:r>
          </w:p>
        </w:tc>
        <w:tc>
          <w:tcPr>
            <w:tcW w:type="dxa" w:w="106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Adresa</w:t>
            </w:r>
          </w:p>
        </w:tc>
        <w:tc>
          <w:tcPr>
            <w:tcW w:type="dxa" w:w="205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k.</w:t>
            </w:r>
            <w:r>
              <w:rPr>
                <w:rFonts w:ascii="Times Roman" w:hAnsi="Times Roman" w:hint="default"/>
                <w:rtl w:val="0"/>
              </w:rPr>
              <w:t>č</w:t>
            </w:r>
            <w:r>
              <w:rPr>
                <w:rFonts w:ascii="Times Roman" w:hAnsi="Times Roman"/>
                <w:rtl w:val="0"/>
              </w:rPr>
              <w:t>. br.</w:t>
            </w:r>
          </w:p>
        </w:tc>
        <w:tc>
          <w:tcPr>
            <w:tcW w:type="dxa" w:w="17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k.o.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ina zemlji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ta u katastarskom operatu u m2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ina objekta u m2</w:t>
            </w:r>
          </w:p>
        </w:tc>
        <w:tc>
          <w:tcPr>
            <w:tcW w:type="dxa" w:w="304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Kupac</w:t>
            </w:r>
          </w:p>
        </w:tc>
        <w:tc>
          <w:tcPr>
            <w:tcW w:type="dxa" w:w="191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</w:t>
            </w:r>
            <w:r>
              <w:rPr>
                <w:rFonts w:ascii="Times Roman" w:hAnsi="Times Roman" w:hint="default"/>
                <w:rtl w:val="0"/>
              </w:rPr>
              <w:t>č</w:t>
            </w:r>
            <w:r>
              <w:rPr>
                <w:rFonts w:ascii="Times Roman" w:hAnsi="Times Roman"/>
                <w:rtl w:val="0"/>
              </w:rPr>
              <w:t>etna cijena u kn</w:t>
            </w:r>
          </w:p>
        </w:tc>
        <w:tc>
          <w:tcPr>
            <w:tcW w:type="dxa" w:w="205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Najvi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a postignuta cijena u kn</w:t>
            </w:r>
          </w:p>
        </w:tc>
      </w:tr>
      <w:tr>
        <w:tblPrEx>
          <w:shd w:val="clear" w:color="auto" w:fill="auto"/>
        </w:tblPrEx>
        <w:trPr>
          <w:trHeight w:val="527" w:hRule="atLeast"/>
        </w:trPr>
        <w:tc>
          <w:tcPr>
            <w:tcW w:type="dxa" w:w="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1.</w:t>
            </w:r>
          </w:p>
        </w:tc>
        <w:tc>
          <w:tcPr>
            <w:tcW w:type="dxa" w:w="106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Franci</w:t>
            </w:r>
          </w:p>
        </w:tc>
        <w:tc>
          <w:tcPr>
            <w:tcW w:type="dxa" w:w="205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1502/3</w:t>
            </w:r>
          </w:p>
        </w:tc>
        <w:tc>
          <w:tcPr>
            <w:tcW w:type="dxa" w:w="17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Gro</w:t>
            </w:r>
            <w:r>
              <w:rPr>
                <w:rFonts w:ascii="Times Roman" w:hAnsi="Times Roman" w:hint="default"/>
                <w:rtl w:val="0"/>
              </w:rPr>
              <w:t>ž</w:t>
            </w:r>
            <w:r>
              <w:rPr>
                <w:rFonts w:ascii="Times Roman" w:hAnsi="Times Roman"/>
                <w:rtl w:val="0"/>
              </w:rPr>
              <w:t>njan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611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304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Iva Kraljevi</w:t>
            </w:r>
            <w:r>
              <w:rPr>
                <w:rFonts w:ascii="Times Roman" w:hAnsi="Times Roman" w:hint="default"/>
                <w:rtl w:val="0"/>
              </w:rPr>
              <w:t xml:space="preserve">ć </w:t>
            </w:r>
            <w:r>
              <w:rPr>
                <w:rFonts w:ascii="Times Roman" w:hAnsi="Times Roman"/>
                <w:rtl w:val="0"/>
              </w:rPr>
              <w:t>iz Gro</w:t>
            </w:r>
            <w:r>
              <w:rPr>
                <w:rFonts w:ascii="Times Roman" w:hAnsi="Times Roman" w:hint="default"/>
                <w:rtl w:val="0"/>
              </w:rPr>
              <w:t>ž</w:t>
            </w:r>
            <w:r>
              <w:rPr>
                <w:rFonts w:ascii="Times Roman" w:hAnsi="Times Roman"/>
                <w:rtl w:val="0"/>
              </w:rPr>
              <w:t xml:space="preserve">njana, 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Vrh Roman 12</w:t>
            </w:r>
          </w:p>
        </w:tc>
        <w:tc>
          <w:tcPr>
            <w:tcW w:type="dxa" w:w="191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134.000,00</w:t>
            </w:r>
          </w:p>
        </w:tc>
        <w:tc>
          <w:tcPr>
            <w:tcW w:type="dxa" w:w="205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134.000,00</w:t>
            </w:r>
          </w:p>
        </w:tc>
      </w:tr>
      <w:tr>
        <w:tblPrEx>
          <w:shd w:val="clear" w:color="auto" w:fill="auto"/>
        </w:tblPrEx>
        <w:trPr>
          <w:trHeight w:val="527" w:hRule="atLeast"/>
        </w:trPr>
        <w:tc>
          <w:tcPr>
            <w:tcW w:type="dxa" w:w="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2.</w:t>
            </w:r>
          </w:p>
        </w:tc>
        <w:tc>
          <w:tcPr>
            <w:tcW w:type="dxa" w:w="106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Mlin</w:t>
            </w:r>
          </w:p>
        </w:tc>
        <w:tc>
          <w:tcPr>
            <w:tcW w:type="dxa" w:w="205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823/2</w:t>
            </w:r>
          </w:p>
        </w:tc>
        <w:tc>
          <w:tcPr>
            <w:tcW w:type="dxa" w:w="17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Zavr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je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1.313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304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Marija Sikiri</w:t>
            </w:r>
            <w:r>
              <w:rPr>
                <w:rFonts w:ascii="Times Roman" w:hAnsi="Times Roman" w:hint="default"/>
                <w:rtl w:val="0"/>
              </w:rPr>
              <w:t xml:space="preserve">ć </w:t>
            </w:r>
            <w:r>
              <w:rPr>
                <w:rFonts w:ascii="Times Roman" w:hAnsi="Times Roman"/>
                <w:rtl w:val="0"/>
              </w:rPr>
              <w:t>iz Zagreba, Gunduli</w:t>
            </w:r>
            <w:r>
              <w:rPr>
                <w:rFonts w:ascii="Times Roman" w:hAnsi="Times Roman" w:hint="default"/>
                <w:rtl w:val="0"/>
              </w:rPr>
              <w:t>ć</w:t>
            </w:r>
            <w:r>
              <w:rPr>
                <w:rFonts w:ascii="Times Roman" w:hAnsi="Times Roman"/>
                <w:rtl w:val="0"/>
              </w:rPr>
              <w:t>eva 23</w:t>
            </w:r>
          </w:p>
        </w:tc>
        <w:tc>
          <w:tcPr>
            <w:tcW w:type="dxa" w:w="191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190.000,00</w:t>
            </w:r>
          </w:p>
        </w:tc>
        <w:tc>
          <w:tcPr>
            <w:tcW w:type="dxa" w:w="205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190.000,00</w:t>
            </w:r>
          </w:p>
        </w:tc>
      </w:tr>
    </w:tbl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Za nekretninu u Kostanjici nije bilo ponuda.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  <w:t>Č</w:t>
      </w:r>
      <w:r>
        <w:rPr>
          <w:rFonts w:ascii="Times Roman" w:hAnsi="Times Roman"/>
          <w:sz w:val="20"/>
          <w:szCs w:val="20"/>
          <w:rtl w:val="0"/>
        </w:rPr>
        <w:t>lanak 2.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Ponuditeljica pod rednim brojem 2. Marija Sikiri</w:t>
      </w:r>
      <w:r>
        <w:rPr>
          <w:rFonts w:ascii="Times Roman" w:hAnsi="Times Roman" w:hint="default"/>
          <w:sz w:val="20"/>
          <w:szCs w:val="20"/>
          <w:rtl w:val="0"/>
        </w:rPr>
        <w:t xml:space="preserve">ć </w:t>
      </w:r>
      <w:r>
        <w:rPr>
          <w:rFonts w:ascii="Times Roman" w:hAnsi="Times Roman"/>
          <w:sz w:val="20"/>
          <w:szCs w:val="20"/>
          <w:rtl w:val="0"/>
        </w:rPr>
        <w:t>ima kupoprodajni ugovor i dokaz da je 2008.g.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ena uplata za dio nekretnine k.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pt-PT"/>
        </w:rPr>
        <w:t>. 4974/6 k.o.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u Stancija Bo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i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, ali zbog nemogu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nosti ucrtavanja pristupnog puta do nekretnine, ucrtavanja i uknji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be parcelacijskog elaborata, kupoprodaja je ostala nerealizirana, nije u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la u posjed kupljene nekretnine, tako da se sada zamjenjuje sa jednakovrijednom parcelom.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ena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evina za sudjelovanje na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aju vratiti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 xml:space="preserve">e se ponuditeljici (Kupcu) u roku od 15 dana od dana stupanja na snagu ove Odluke, a u novom Kupoprodajnom ugovoru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upisati da je platila nekretninu iz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zamjenom ranije kupljene nekretnine, koja ostaje uknji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ena na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inu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  <w:t>Č</w:t>
      </w:r>
      <w:r>
        <w:rPr>
          <w:rFonts w:ascii="Times Roman" w:hAnsi="Times Roman"/>
          <w:sz w:val="20"/>
          <w:szCs w:val="20"/>
          <w:rtl w:val="0"/>
        </w:rPr>
        <w:t>lanak 3.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Ponuditeljica pod rednim brojem 1. Iva Kraljevi</w:t>
      </w:r>
      <w:r>
        <w:rPr>
          <w:rFonts w:ascii="Times Roman" w:hAnsi="Times Roman" w:hint="default"/>
          <w:sz w:val="20"/>
          <w:szCs w:val="20"/>
          <w:rtl w:val="0"/>
        </w:rPr>
        <w:t xml:space="preserve">ć </w:t>
      </w:r>
      <w:r>
        <w:rPr>
          <w:rFonts w:ascii="Times Roman" w:hAnsi="Times Roman"/>
          <w:sz w:val="20"/>
          <w:szCs w:val="20"/>
          <w:rtl w:val="0"/>
        </w:rPr>
        <w:t>zatra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ila je obro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nu otplatu nekretnine.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S obzirom da Nekretninu iz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kupuje za rje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avanje stambenog pitanja svoje obitelji, odobrava se obro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na otplata nekretnine na rok od 5 godina, uz obra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un redovnih kamata u visini od 7% godi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nje.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 xml:space="preserve">ena cijena umanjiti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za odobreni popust za stambenu izgradnju u roku od 15 dana od dana stupanja na snagu Odluke o uvjetima,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inu i postupku upravljanja i raspolaganja nekretninama u vlasni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tvu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njan Grsignana.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eni garantni polog ura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it-IT"/>
        </w:rPr>
        <w:t xml:space="preserve">unati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prilikom obra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it-IT"/>
        </w:rPr>
        <w:t>una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nog iznosa.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Mjese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ne obroke Kupac je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an uplatiti na 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pt-PT"/>
        </w:rPr>
        <w:t>iro-ra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un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najkasnije do 20.-tog u mjesecu, IBAN broj: HR2824020061813800002, s pozivom na broj 68-7757-OIB.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Ugovori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sklopiti u roku od 20 dana od dana dono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enja Odluke o prihvatu najpovoljnijih ponuda.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Nakon  roka od 90 dana automatski se poni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tava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parcelu za koju nije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ena utvr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ena uplata i potpisan kupoprodajni ugovor bez opravdanog razloga, bez povrata 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ene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evine.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Prije potpisivanja ugovora svaki  kupac je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an dostaviti potvrdu Odsjeka za financije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da nema dospjelih, nepodmirenih obveza prema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ini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Grisignana, u suprotnom se ne mo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e potpisati kupoprodajni ugovor.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Najpovoljniji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 xml:space="preserve">č </w:t>
      </w:r>
      <w:r>
        <w:rPr>
          <w:rFonts w:ascii="Times Roman" w:hAnsi="Times Roman"/>
          <w:sz w:val="20"/>
          <w:szCs w:val="20"/>
          <w:rtl w:val="0"/>
        </w:rPr>
        <w:t>koji odustane od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(osim u izuzetnim opravdanim slu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ajevima)  ili ne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i bilo koju drugu obvezu povodom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aja,  gubi pravo na povrat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evine, a pravo na kupnju ima slijede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 najpovoljniji ponuditelj.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Povr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ine parcela uzete su iz slu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benog katastarskog operata,  te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ina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ne garantira da su  iste povr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  <w:lang w:val="en-US"/>
        </w:rPr>
        <w:t>ine to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ne i na terenu.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Nekretnine se prodaju po principu VI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ENO-PRODANO. Svaki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 xml:space="preserve">č </w:t>
      </w:r>
      <w:r>
        <w:rPr>
          <w:rFonts w:ascii="Times Roman" w:hAnsi="Times Roman"/>
          <w:sz w:val="20"/>
          <w:szCs w:val="20"/>
          <w:rtl w:val="0"/>
        </w:rPr>
        <w:t>je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an upoznati se s onim 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to kupuje, tako da nema pravo na naknadne reklamacije.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72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4.</w:t>
      </w:r>
    </w:p>
    <w:p>
      <w:pPr>
        <w:pStyle w:val="Tijelo"/>
        <w:bidi w:val="0"/>
        <w:ind w:left="72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360" w:right="0" w:firstLine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Tro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kove ovjere ugovora kod javnog bilje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nika, porez na promet nekretnina i tro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kove prijenosa vlasni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tva snosi kupac.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               </w:t>
      </w:r>
    </w:p>
    <w:p>
      <w:pPr>
        <w:pStyle w:val="Tijelo"/>
        <w:bidi w:val="0"/>
        <w:ind w:left="72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 xml:space="preserve"> Č</w:t>
      </w:r>
      <w:r>
        <w:rPr>
          <w:rFonts w:ascii="Times Roman" w:hAnsi="Times Roman"/>
          <w:sz w:val="20"/>
          <w:szCs w:val="20"/>
          <w:rtl w:val="0"/>
        </w:rPr>
        <w:t>lanak 5.</w:t>
      </w:r>
    </w:p>
    <w:p>
      <w:pPr>
        <w:pStyle w:val="Tijelo"/>
        <w:bidi w:val="0"/>
        <w:ind w:left="648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Ova Odluka stupa na snagu osam dana od dana objave u Slu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benim novinama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njan Grisignana, a objavit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i na slu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benim web stranicama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i na Oglasnoj plo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i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KLASA: 947-01/20-01/11</w:t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UR.BROJ: 2105/06-01/1-20-6</w:t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de-DE"/>
        </w:rPr>
        <w:t>U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njanu, 29. svibnja 2020.g.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 xml:space="preserve">                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                                                                                                                                         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pt-PT"/>
        </w:rPr>
        <w:t>NJAN GRISIGNANA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  <w:tab/>
        <w:tab/>
        <w:tab/>
        <w:t>PREDSJEDNICA: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  <w:tab/>
        <w:tab/>
        <w:tab/>
        <w:t>Roberta Veroneze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tl w:val="0"/>
        </w:rPr>
      </w:pPr>
      <w:r>
        <w:rPr>
          <w:rFonts w:ascii="Times Roman" w:hAnsi="Times Roman"/>
          <w:sz w:val="20"/>
          <w:szCs w:val="20"/>
          <w:rtl w:val="0"/>
        </w:rPr>
        <w:t>.</w:t>
      </w:r>
    </w:p>
    <w:sectPr>
      <w:headerReference w:type="default" r:id="rId4"/>
      <w:footerReference w:type="default" r:id="rId5"/>
      <w:pgSz w:w="16838" w:h="11906" w:orient="landscape"/>
      <w:pgMar w:top="426" w:right="1418" w:bottom="142" w:left="1418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jelo">
    <w:name w:val="Tijelo"/>
    <w:next w:val="Tijel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il tablice 2">
    <w:name w:val="Stil tablice 2"/>
    <w:next w:val="Stil tablic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